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35" w:type="dxa"/>
        <w:tblLook w:val="04A0" w:firstRow="1" w:lastRow="0" w:firstColumn="1" w:lastColumn="0" w:noHBand="0" w:noVBand="1"/>
      </w:tblPr>
      <w:tblGrid>
        <w:gridCol w:w="9107"/>
      </w:tblGrid>
      <w:tr w:rsidR="00C209B3" w:rsidTr="00C209B3">
        <w:tc>
          <w:tcPr>
            <w:tcW w:w="9242" w:type="dxa"/>
          </w:tcPr>
          <w:p w:rsidR="00C209B3" w:rsidRPr="00A560D6" w:rsidRDefault="00C209B3" w:rsidP="00C209B3">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rsidR="00C209B3" w:rsidRPr="009F1626" w:rsidRDefault="00C209B3" w:rsidP="00C209B3">
            <w:pPr>
              <w:pStyle w:val="NormalWeb"/>
              <w:spacing w:before="0" w:beforeAutospacing="0" w:after="0" w:afterAutospacing="0"/>
              <w:ind w:left="135"/>
              <w:rPr>
                <w:rFonts w:asciiTheme="minorHAnsi" w:hAnsiTheme="minorHAnsi" w:cstheme="minorHAnsi"/>
                <w:u w:val="single"/>
              </w:rPr>
            </w:pPr>
          </w:p>
          <w:p w:rsidR="00C209B3" w:rsidRDefault="00C209B3" w:rsidP="00C209B3">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rsidR="00C209B3" w:rsidRDefault="00C209B3" w:rsidP="00C209B3">
            <w:pPr>
              <w:pStyle w:val="NormalWeb"/>
              <w:spacing w:before="0" w:beforeAutospacing="0" w:after="0" w:afterAutospacing="0"/>
              <w:ind w:left="855"/>
              <w:rPr>
                <w:rFonts w:asciiTheme="minorHAnsi" w:hAnsiTheme="minorHAnsi" w:cstheme="minorHAnsi"/>
              </w:rPr>
            </w:pPr>
          </w:p>
          <w:p w:rsidR="00C209B3" w:rsidRDefault="00C209B3" w:rsidP="00C209B3">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rsidR="00C209B3" w:rsidRDefault="00C209B3" w:rsidP="00C209B3">
            <w:pPr>
              <w:pStyle w:val="NormalWeb"/>
              <w:spacing w:before="0" w:beforeAutospacing="0" w:after="0" w:afterAutospacing="0"/>
              <w:ind w:left="135"/>
              <w:rPr>
                <w:rFonts w:asciiTheme="minorHAnsi" w:hAnsiTheme="minorHAnsi" w:cstheme="minorHAnsi"/>
              </w:rPr>
            </w:pPr>
          </w:p>
          <w:p w:rsidR="00C209B3" w:rsidRDefault="00C209B3" w:rsidP="00C209B3">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rsidR="00C209B3" w:rsidRDefault="00C209B3" w:rsidP="00C209B3">
            <w:pPr>
              <w:pStyle w:val="ListParagraph"/>
              <w:rPr>
                <w:rFonts w:cstheme="minorHAnsi"/>
              </w:rPr>
            </w:pPr>
          </w:p>
          <w:p w:rsidR="00C209B3" w:rsidRDefault="00C209B3" w:rsidP="00C209B3">
            <w:pPr>
              <w:rPr>
                <w:rStyle w:val="Hyperlink"/>
                <w:rFonts w:cstheme="minorHAnsi"/>
                <w:color w:val="auto"/>
                <w:u w:val="none"/>
              </w:rPr>
            </w:pPr>
            <w:r w:rsidRPr="00A560D6">
              <w:rPr>
                <w:rFonts w:cstheme="minorHAnsi"/>
              </w:rPr>
              <w:t xml:space="preserve">More information can be found at: </w:t>
            </w:r>
            <w:hyperlink r:id="rId6" w:history="1">
              <w:r w:rsidRPr="00382B0A">
                <w:rPr>
                  <w:rStyle w:val="Hyperlink"/>
                  <w:rFonts w:cstheme="minorHAnsi"/>
                  <w:color w:val="0070C0"/>
                  <w:u w:val="none"/>
                </w:rPr>
                <w:t>https://www.gov.uk/topic/population-screening-programmes</w:t>
              </w:r>
            </w:hyperlink>
            <w:r w:rsidRPr="00382B0A">
              <w:rPr>
                <w:rStyle w:val="Hyperlink"/>
                <w:rFonts w:cstheme="minorHAnsi"/>
                <w:color w:val="0070C0"/>
                <w:u w:val="none"/>
              </w:rPr>
              <w:t xml:space="preserve"> </w:t>
            </w:r>
            <w:r>
              <w:rPr>
                <w:rStyle w:val="Hyperlink"/>
                <w:rFonts w:cstheme="minorHAnsi"/>
                <w:color w:val="auto"/>
                <w:u w:val="none"/>
              </w:rPr>
              <w:t>or speak to the practice.</w:t>
            </w:r>
          </w:p>
          <w:p w:rsidR="00C209B3" w:rsidRDefault="00C209B3" w:rsidP="00C209B3">
            <w:pPr>
              <w:pStyle w:val="NormalWeb"/>
              <w:spacing w:before="0" w:beforeAutospacing="0" w:after="0" w:afterAutospacing="0"/>
              <w:rPr>
                <w:rFonts w:asciiTheme="minorHAnsi" w:hAnsiTheme="minorHAnsi" w:cstheme="minorHAnsi"/>
                <w:b/>
                <w:sz w:val="28"/>
                <w:szCs w:val="28"/>
                <w:u w:val="single"/>
              </w:rPr>
            </w:pPr>
          </w:p>
        </w:tc>
      </w:tr>
    </w:tbl>
    <w:p w:rsidR="00C209B3" w:rsidRDefault="00C209B3" w:rsidP="00C209B3">
      <w:pPr>
        <w:pStyle w:val="NormalWeb"/>
        <w:spacing w:before="0" w:beforeAutospacing="0" w:after="0" w:afterAutospacing="0"/>
        <w:ind w:left="135"/>
        <w:rPr>
          <w:rFonts w:asciiTheme="minorHAnsi" w:hAnsiTheme="minorHAnsi" w:cstheme="minorHAnsi"/>
          <w:b/>
          <w:sz w:val="28"/>
          <w:szCs w:val="28"/>
          <w:u w:val="single"/>
        </w:rPr>
      </w:pPr>
    </w:p>
    <w:p w:rsidR="00C209B3" w:rsidRDefault="00C209B3" w:rsidP="00C209B3">
      <w:pPr>
        <w:rPr>
          <w:rFonts w:cstheme="minorHAnsi"/>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4621"/>
        <w:gridCol w:w="4621"/>
      </w:tblGrid>
      <w:tr w:rsidR="00C209B3" w:rsidTr="00C209B3">
        <w:tc>
          <w:tcPr>
            <w:tcW w:w="4621" w:type="dxa"/>
          </w:tcPr>
          <w:p w:rsidR="00C209B3" w:rsidRPr="006E5EB2" w:rsidRDefault="00C209B3" w:rsidP="00C209B3">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rsidR="00C209B3" w:rsidRDefault="00C209B3" w:rsidP="00C209B3">
            <w:pPr>
              <w:rPr>
                <w:rFonts w:cstheme="minorHAnsi"/>
                <w:color w:val="FF0000"/>
              </w:rPr>
            </w:pPr>
          </w:p>
        </w:tc>
        <w:tc>
          <w:tcPr>
            <w:tcW w:w="4621" w:type="dxa"/>
          </w:tcPr>
          <w:p w:rsidR="00C209B3" w:rsidRPr="00D435C2" w:rsidRDefault="00D435C2" w:rsidP="00C209B3">
            <w:pPr>
              <w:rPr>
                <w:rFonts w:cstheme="minorHAnsi"/>
                <w:lang w:eastAsia="en-GB"/>
              </w:rPr>
            </w:pPr>
            <w:r w:rsidRPr="00D435C2">
              <w:rPr>
                <w:rFonts w:cstheme="minorHAnsi"/>
                <w:lang w:eastAsia="en-GB"/>
              </w:rPr>
              <w:t xml:space="preserve">Central Surgery, 27 </w:t>
            </w:r>
            <w:proofErr w:type="spellStart"/>
            <w:r w:rsidRPr="00D435C2">
              <w:rPr>
                <w:rFonts w:cstheme="minorHAnsi"/>
                <w:lang w:eastAsia="en-GB"/>
              </w:rPr>
              <w:t>Southchurch</w:t>
            </w:r>
            <w:proofErr w:type="spellEnd"/>
            <w:r w:rsidRPr="00D435C2">
              <w:rPr>
                <w:rFonts w:cstheme="minorHAnsi"/>
                <w:lang w:eastAsia="en-GB"/>
              </w:rPr>
              <w:t xml:space="preserve"> Boulevard, Southend-On-Sea, SS2 4UB</w:t>
            </w:r>
          </w:p>
          <w:p w:rsidR="00C209B3" w:rsidRDefault="00C209B3" w:rsidP="00C209B3">
            <w:pPr>
              <w:rPr>
                <w:rFonts w:cstheme="minorHAnsi"/>
                <w:color w:val="FF0000"/>
              </w:rPr>
            </w:pPr>
          </w:p>
        </w:tc>
      </w:tr>
      <w:tr w:rsidR="00C209B3" w:rsidTr="00C209B3">
        <w:tc>
          <w:tcPr>
            <w:tcW w:w="4621" w:type="dxa"/>
          </w:tcPr>
          <w:p w:rsidR="00C209B3" w:rsidRPr="006E5EB2" w:rsidRDefault="00C209B3" w:rsidP="00C209B3">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rsidR="00C209B3" w:rsidRDefault="00C209B3" w:rsidP="00C209B3">
            <w:pPr>
              <w:rPr>
                <w:rFonts w:cstheme="minorHAnsi"/>
                <w:color w:val="FF0000"/>
              </w:rPr>
            </w:pPr>
          </w:p>
        </w:tc>
        <w:tc>
          <w:tcPr>
            <w:tcW w:w="4621" w:type="dxa"/>
          </w:tcPr>
          <w:p w:rsidR="00C209B3" w:rsidRDefault="00D435C2" w:rsidP="00C209B3">
            <w:pPr>
              <w:rPr>
                <w:rFonts w:cstheme="minorHAnsi"/>
                <w:color w:val="FF0000"/>
              </w:rPr>
            </w:pPr>
            <w:r w:rsidRPr="00D435C2">
              <w:rPr>
                <w:rFonts w:cstheme="minorHAnsi"/>
                <w:lang w:eastAsia="en-GB"/>
              </w:rPr>
              <w:t>Practice Manager Christine Lloyd</w:t>
            </w:r>
          </w:p>
        </w:tc>
      </w:tr>
      <w:tr w:rsidR="00C209B3" w:rsidTr="00C209B3">
        <w:tc>
          <w:tcPr>
            <w:tcW w:w="4621" w:type="dxa"/>
          </w:tcPr>
          <w:p w:rsidR="00C209B3" w:rsidRPr="006E5EB2" w:rsidRDefault="00C209B3" w:rsidP="00C209B3">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C209B3" w:rsidRDefault="00C209B3" w:rsidP="00C209B3">
            <w:pPr>
              <w:rPr>
                <w:rFonts w:cstheme="minorHAnsi"/>
                <w:color w:val="FF0000"/>
              </w:rPr>
            </w:pPr>
          </w:p>
        </w:tc>
        <w:tc>
          <w:tcPr>
            <w:tcW w:w="4621" w:type="dxa"/>
          </w:tcPr>
          <w:p w:rsidR="00C209B3" w:rsidRPr="00093C39" w:rsidRDefault="00C209B3" w:rsidP="00C209B3">
            <w:pPr>
              <w:pStyle w:val="ListParagraph"/>
              <w:numPr>
                <w:ilvl w:val="0"/>
                <w:numId w:val="3"/>
              </w:numPr>
              <w:spacing w:after="0" w:line="240" w:lineRule="auto"/>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rsidR="00C209B3" w:rsidRPr="00D435C2" w:rsidRDefault="00C209B3" w:rsidP="00D435C2">
            <w:pPr>
              <w:pStyle w:val="ListParagraph"/>
              <w:numPr>
                <w:ilvl w:val="0"/>
                <w:numId w:val="3"/>
              </w:numPr>
              <w:spacing w:after="0" w:line="240" w:lineRule="auto"/>
              <w:rPr>
                <w:rFonts w:cstheme="minorHAnsi"/>
                <w:color w:val="FF0000"/>
              </w:rPr>
            </w:pPr>
            <w:r w:rsidRPr="00D435C2">
              <w:rPr>
                <w:rFonts w:cstheme="minorHAnsi"/>
                <w:color w:val="000000"/>
                <w:lang w:eastAsia="en-GB"/>
              </w:rPr>
              <w:t xml:space="preserve">The information is shared so that the correct people are invited for screening. This means those who are most at risk can be offered treatment. </w:t>
            </w:r>
          </w:p>
        </w:tc>
      </w:tr>
      <w:tr w:rsidR="00C209B3" w:rsidTr="00C209B3">
        <w:tc>
          <w:tcPr>
            <w:tcW w:w="4621" w:type="dxa"/>
          </w:tcPr>
          <w:p w:rsidR="00C209B3" w:rsidRPr="006E5EB2" w:rsidRDefault="00C209B3" w:rsidP="00C209B3">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C209B3" w:rsidRDefault="00C209B3" w:rsidP="00C209B3">
            <w:pPr>
              <w:rPr>
                <w:rFonts w:cstheme="minorHAnsi"/>
                <w:color w:val="FF0000"/>
              </w:rPr>
            </w:pPr>
          </w:p>
        </w:tc>
        <w:tc>
          <w:tcPr>
            <w:tcW w:w="4621" w:type="dxa"/>
          </w:tcPr>
          <w:p w:rsidR="00C209B3" w:rsidRDefault="00C209B3" w:rsidP="00C209B3">
            <w:pPr>
              <w:rPr>
                <w:rFonts w:cstheme="minorHAnsi"/>
              </w:rPr>
            </w:pPr>
            <w:r>
              <w:rPr>
                <w:rFonts w:cstheme="minorHAnsi"/>
              </w:rPr>
              <w:t>The following sections of the GDPR allow us to contact patients for screening.</w:t>
            </w:r>
          </w:p>
          <w:p w:rsidR="00C209B3" w:rsidRDefault="00C209B3" w:rsidP="00C209B3">
            <w:pPr>
              <w:rPr>
                <w:rFonts w:cstheme="minorHAnsi"/>
              </w:rPr>
            </w:pPr>
            <w:r>
              <w:rPr>
                <w:rFonts w:cstheme="minorHAnsi"/>
              </w:rPr>
              <w:t>Article 6(1</w:t>
            </w:r>
            <w:proofErr w:type="gramStart"/>
            <w:r>
              <w:rPr>
                <w:rFonts w:cstheme="minorHAnsi"/>
              </w:rPr>
              <w:t>)(</w:t>
            </w:r>
            <w:proofErr w:type="gramEnd"/>
            <w:r>
              <w:rPr>
                <w:rFonts w:cstheme="minorHAnsi"/>
              </w:rPr>
              <w:t>e) – ‘processing is necessary…in the exercise of official authority vested in the controller...’’</w:t>
            </w:r>
          </w:p>
          <w:p w:rsidR="00C209B3" w:rsidRDefault="00C209B3" w:rsidP="00C209B3">
            <w:pPr>
              <w:rPr>
                <w:rFonts w:cstheme="minorHAnsi"/>
                <w:color w:val="FF0000"/>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bl>
    <w:p w:rsidR="00C209B3" w:rsidRPr="00075703" w:rsidRDefault="00C209B3" w:rsidP="00C209B3">
      <w:pPr>
        <w:rPr>
          <w:rFonts w:cstheme="minorHAnsi"/>
          <w:color w:val="FF0000"/>
        </w:rPr>
      </w:pPr>
    </w:p>
    <w:tbl>
      <w:tblPr>
        <w:tblStyle w:val="TableGrid"/>
        <w:tblW w:w="0" w:type="auto"/>
        <w:tblLook w:val="04A0" w:firstRow="1" w:lastRow="0" w:firstColumn="1" w:lastColumn="0" w:noHBand="0" w:noVBand="1"/>
      </w:tblPr>
      <w:tblGrid>
        <w:gridCol w:w="4134"/>
        <w:gridCol w:w="5108"/>
      </w:tblGrid>
      <w:tr w:rsidR="00C209B3" w:rsidTr="00C209B3">
        <w:tc>
          <w:tcPr>
            <w:tcW w:w="4134" w:type="dxa"/>
          </w:tcPr>
          <w:p w:rsidR="00C209B3" w:rsidRDefault="00C209B3" w:rsidP="00D435C2">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bookmarkStart w:id="0" w:name="_GoBack"/>
            <w:bookmarkEnd w:id="0"/>
          </w:p>
        </w:tc>
        <w:tc>
          <w:tcPr>
            <w:tcW w:w="5108" w:type="dxa"/>
          </w:tcPr>
          <w:p w:rsidR="00C209B3" w:rsidRDefault="00C209B3" w:rsidP="00D435C2">
            <w:r w:rsidRPr="006E5EB2">
              <w:rPr>
                <w:rFonts w:cstheme="minorHAnsi"/>
                <w:color w:val="000000"/>
                <w:lang w:eastAsia="en-GB"/>
              </w:rPr>
              <w:t xml:space="preserve">The data will be shared </w:t>
            </w:r>
            <w:r w:rsidRPr="00D435C2">
              <w:rPr>
                <w:rFonts w:cstheme="minorHAnsi"/>
                <w:lang w:eastAsia="en-GB"/>
              </w:rPr>
              <w:t xml:space="preserve">with </w:t>
            </w:r>
            <w:r w:rsidR="00D435C2" w:rsidRPr="00D435C2">
              <w:rPr>
                <w:rFonts w:cstheme="minorHAnsi"/>
                <w:lang w:eastAsia="en-GB"/>
              </w:rPr>
              <w:t>Public Health.</w:t>
            </w:r>
          </w:p>
        </w:tc>
      </w:tr>
      <w:tr w:rsidR="00C209B3" w:rsidTr="00C209B3">
        <w:tc>
          <w:tcPr>
            <w:tcW w:w="4134" w:type="dxa"/>
          </w:tcPr>
          <w:p w:rsidR="00C209B3" w:rsidRPr="006E5EB2" w:rsidRDefault="00C209B3" w:rsidP="00C209B3">
            <w:pPr>
              <w:rPr>
                <w:rFonts w:cstheme="minorHAnsi"/>
              </w:rPr>
            </w:pPr>
            <w:r w:rsidRPr="006E5EB2">
              <w:rPr>
                <w:rFonts w:cstheme="minorHAnsi"/>
                <w:b/>
                <w:color w:val="000000"/>
                <w:lang w:eastAsia="en-GB"/>
              </w:rPr>
              <w:t>Rights to object</w:t>
            </w:r>
          </w:p>
          <w:p w:rsidR="00C209B3" w:rsidRDefault="00C209B3" w:rsidP="00C209B3"/>
        </w:tc>
        <w:tc>
          <w:tcPr>
            <w:tcW w:w="5108" w:type="dxa"/>
          </w:tcPr>
          <w:p w:rsidR="00C209B3" w:rsidRPr="006E5EB2" w:rsidRDefault="00C209B3" w:rsidP="00C209B3">
            <w:pPr>
              <w:rPr>
                <w:rFonts w:cstheme="minorHAnsi"/>
              </w:rPr>
            </w:pPr>
            <w:r w:rsidRPr="006E5EB2">
              <w:rPr>
                <w:rFonts w:cstheme="minorHAnsi"/>
              </w:rPr>
              <w:t xml:space="preserve">For national screening programmes: you can opt so that you no longer receive an invitation to a screening programme. </w:t>
            </w:r>
          </w:p>
          <w:p w:rsidR="00C209B3" w:rsidRPr="006E5EB2" w:rsidRDefault="00C209B3" w:rsidP="00C209B3">
            <w:pPr>
              <w:rPr>
                <w:rFonts w:cstheme="minorHAnsi"/>
              </w:rPr>
            </w:pPr>
            <w:r w:rsidRPr="006E5EB2">
              <w:rPr>
                <w:rFonts w:cstheme="minorHAnsi"/>
              </w:rPr>
              <w:t xml:space="preserve">See: </w:t>
            </w:r>
            <w:hyperlink r:id="rId7" w:history="1">
              <w:r w:rsidRPr="006E5EB2">
                <w:rPr>
                  <w:rStyle w:val="Hyperlink"/>
                  <w:rFonts w:cstheme="minorHAnsi"/>
                </w:rPr>
                <w:t>https://www.gov.uk/government/publications/opting-out-of-the-nhs-population-screening-programmes</w:t>
              </w:r>
            </w:hyperlink>
          </w:p>
          <w:p w:rsidR="00C209B3" w:rsidRDefault="00C209B3" w:rsidP="00D435C2">
            <w:r w:rsidRPr="006E5EB2">
              <w:rPr>
                <w:rFonts w:cstheme="minorHAnsi"/>
              </w:rPr>
              <w:t xml:space="preserve">Or speak to </w:t>
            </w:r>
            <w:r w:rsidR="00D435C2">
              <w:rPr>
                <w:rFonts w:cstheme="minorHAnsi"/>
              </w:rPr>
              <w:t>the</w:t>
            </w:r>
            <w:r w:rsidRPr="006E5EB2">
              <w:rPr>
                <w:rFonts w:cstheme="minorHAnsi"/>
              </w:rPr>
              <w:t xml:space="preserve"> practice. </w:t>
            </w:r>
          </w:p>
        </w:tc>
      </w:tr>
      <w:tr w:rsidR="00C209B3" w:rsidTr="00C209B3">
        <w:tc>
          <w:tcPr>
            <w:tcW w:w="4134" w:type="dxa"/>
          </w:tcPr>
          <w:p w:rsidR="00C209B3" w:rsidRDefault="00C209B3" w:rsidP="00C209B3">
            <w:r w:rsidRPr="006E5EB2">
              <w:rPr>
                <w:rFonts w:cstheme="minorHAnsi"/>
                <w:b/>
                <w:color w:val="000000"/>
                <w:lang w:eastAsia="en-GB"/>
              </w:rPr>
              <w:t>Right to access and correct</w:t>
            </w:r>
          </w:p>
        </w:tc>
        <w:tc>
          <w:tcPr>
            <w:tcW w:w="5108" w:type="dxa"/>
          </w:tcPr>
          <w:p w:rsidR="00C209B3" w:rsidRDefault="00C209B3" w:rsidP="00C209B3">
            <w:pPr>
              <w:pStyle w:val="ListParagraph"/>
              <w:numPr>
                <w:ilvl w:val="0"/>
                <w:numId w:val="2"/>
              </w:numPr>
              <w:spacing w:after="0" w:line="240" w:lineRule="auto"/>
              <w:rPr>
                <w:rFonts w:cstheme="minorHAnsi"/>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hyperlink r:id="rId8" w:history="1">
              <w:r w:rsidR="00D435C2" w:rsidRPr="00952A78">
                <w:rPr>
                  <w:rStyle w:val="Hyperlink"/>
                  <w:rFonts w:cstheme="minorHAnsi"/>
                  <w:lang w:eastAsia="en-GB"/>
                </w:rPr>
                <w:t>www.central-surgery.co.uk</w:t>
              </w:r>
            </w:hyperlink>
          </w:p>
          <w:p w:rsidR="00C209B3" w:rsidRDefault="00C209B3" w:rsidP="00C209B3">
            <w:pPr>
              <w:pStyle w:val="ListParagraph"/>
              <w:numPr>
                <w:ilvl w:val="0"/>
                <w:numId w:val="2"/>
              </w:numPr>
            </w:pPr>
            <w:r w:rsidRPr="00C209B3">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209B3" w:rsidTr="00C209B3">
        <w:tc>
          <w:tcPr>
            <w:tcW w:w="4134" w:type="dxa"/>
          </w:tcPr>
          <w:p w:rsidR="00C209B3" w:rsidRPr="006E5EB2" w:rsidRDefault="00C209B3" w:rsidP="00C209B3">
            <w:pPr>
              <w:rPr>
                <w:rFonts w:cstheme="minorHAnsi"/>
                <w:b/>
                <w:color w:val="000000"/>
                <w:lang w:eastAsia="en-GB"/>
              </w:rPr>
            </w:pPr>
            <w:r w:rsidRPr="006E5EB2">
              <w:rPr>
                <w:rFonts w:cstheme="minorHAnsi"/>
                <w:b/>
                <w:color w:val="000000"/>
                <w:lang w:eastAsia="en-GB"/>
              </w:rPr>
              <w:t>Retention period</w:t>
            </w:r>
          </w:p>
          <w:p w:rsidR="00C209B3" w:rsidRDefault="00C209B3" w:rsidP="00C209B3"/>
        </w:tc>
        <w:tc>
          <w:tcPr>
            <w:tcW w:w="5108" w:type="dxa"/>
          </w:tcPr>
          <w:p w:rsidR="00C209B3" w:rsidRDefault="00C209B3" w:rsidP="00C209B3">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rsidR="00C209B3" w:rsidRDefault="00C209B3" w:rsidP="00C209B3">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9"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rsidR="00C209B3" w:rsidRDefault="00C209B3" w:rsidP="00D435C2">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tc>
      </w:tr>
      <w:tr w:rsidR="00C209B3" w:rsidTr="00C209B3">
        <w:tc>
          <w:tcPr>
            <w:tcW w:w="4134" w:type="dxa"/>
          </w:tcPr>
          <w:p w:rsidR="00C209B3" w:rsidRPr="006E5EB2" w:rsidRDefault="00C209B3" w:rsidP="00C209B3">
            <w:pPr>
              <w:rPr>
                <w:rFonts w:cstheme="minorHAnsi"/>
                <w:b/>
                <w:color w:val="000000"/>
                <w:lang w:eastAsia="en-GB"/>
              </w:rPr>
            </w:pPr>
            <w:r w:rsidRPr="006E5EB2">
              <w:rPr>
                <w:rFonts w:cstheme="minorHAnsi"/>
                <w:b/>
                <w:color w:val="000000"/>
                <w:lang w:eastAsia="en-GB"/>
              </w:rPr>
              <w:t>Right to complain</w:t>
            </w:r>
          </w:p>
          <w:p w:rsidR="00C209B3" w:rsidRPr="006E5EB2" w:rsidRDefault="00C209B3" w:rsidP="00C209B3">
            <w:pPr>
              <w:rPr>
                <w:rFonts w:cstheme="minorHAnsi"/>
                <w:b/>
                <w:color w:val="000000"/>
                <w:lang w:eastAsia="en-GB"/>
              </w:rPr>
            </w:pPr>
          </w:p>
        </w:tc>
        <w:tc>
          <w:tcPr>
            <w:tcW w:w="5108" w:type="dxa"/>
          </w:tcPr>
          <w:p w:rsidR="00C209B3" w:rsidRDefault="00C209B3" w:rsidP="00D435C2">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0"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tc>
      </w:tr>
      <w:tr w:rsidR="00C209B3" w:rsidTr="00C209B3">
        <w:tc>
          <w:tcPr>
            <w:tcW w:w="4134" w:type="dxa"/>
          </w:tcPr>
          <w:p w:rsidR="00C209B3" w:rsidRPr="006E5EB2" w:rsidRDefault="00C209B3" w:rsidP="00F25ACB">
            <w:pPr>
              <w:rPr>
                <w:rFonts w:cstheme="minorHAnsi"/>
              </w:rPr>
            </w:pPr>
            <w:r>
              <w:rPr>
                <w:rFonts w:cstheme="minorHAnsi"/>
                <w:b/>
                <w:color w:val="000000"/>
                <w:lang w:eastAsia="en-GB"/>
              </w:rPr>
              <w:t>Data we get from other organisations</w:t>
            </w:r>
          </w:p>
        </w:tc>
        <w:tc>
          <w:tcPr>
            <w:tcW w:w="5108" w:type="dxa"/>
          </w:tcPr>
          <w:p w:rsidR="00C209B3" w:rsidRPr="006E5EB2" w:rsidRDefault="00C209B3" w:rsidP="00F25ACB">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C209B3" w:rsidRDefault="00C209B3" w:rsidP="00D435C2"/>
    <w:sectPr w:rsidR="00C20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23DE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E02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B3"/>
    <w:rsid w:val="002349D6"/>
    <w:rsid w:val="0082528E"/>
    <w:rsid w:val="00C209B3"/>
    <w:rsid w:val="00D435C2"/>
    <w:rsid w:val="00E24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9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209B3"/>
    <w:rPr>
      <w:color w:val="0000FF" w:themeColor="hyperlink"/>
      <w:u w:val="single"/>
    </w:rPr>
  </w:style>
  <w:style w:type="paragraph" w:styleId="ListParagraph">
    <w:name w:val="List Paragraph"/>
    <w:basedOn w:val="Normal"/>
    <w:uiPriority w:val="34"/>
    <w:qFormat/>
    <w:rsid w:val="00C209B3"/>
    <w:pPr>
      <w:ind w:left="720"/>
      <w:contextualSpacing/>
    </w:pPr>
  </w:style>
  <w:style w:type="table" w:styleId="TableGrid">
    <w:name w:val="Table Grid"/>
    <w:basedOn w:val="TableNormal"/>
    <w:uiPriority w:val="59"/>
    <w:rsid w:val="00C2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9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209B3"/>
    <w:rPr>
      <w:color w:val="0000FF" w:themeColor="hyperlink"/>
      <w:u w:val="single"/>
    </w:rPr>
  </w:style>
  <w:style w:type="paragraph" w:styleId="ListParagraph">
    <w:name w:val="List Paragraph"/>
    <w:basedOn w:val="Normal"/>
    <w:uiPriority w:val="34"/>
    <w:qFormat/>
    <w:rsid w:val="00C209B3"/>
    <w:pPr>
      <w:ind w:left="720"/>
      <w:contextualSpacing/>
    </w:pPr>
  </w:style>
  <w:style w:type="table" w:styleId="TableGrid">
    <w:name w:val="Table Grid"/>
    <w:basedOn w:val="TableNormal"/>
    <w:uiPriority w:val="59"/>
    <w:rsid w:val="00C2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surgery.co.uk" TargetMode="External"/><Relationship Id="rId3" Type="http://schemas.microsoft.com/office/2007/relationships/stylesWithEffects" Target="stylesWithEffects.xml"/><Relationship Id="rId7" Type="http://schemas.openxmlformats.org/officeDocument/2006/relationships/hyperlink" Target="https://www.gov.uk/government/publications/opting-out-of-the-nhs-population-screening-program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topic/population-screening-programm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Lloyd</dc:creator>
  <cp:lastModifiedBy>Christine Lloyd</cp:lastModifiedBy>
  <cp:revision>2</cp:revision>
  <dcterms:created xsi:type="dcterms:W3CDTF">2018-05-15T14:16:00Z</dcterms:created>
  <dcterms:modified xsi:type="dcterms:W3CDTF">2018-05-15T14:39:00Z</dcterms:modified>
</cp:coreProperties>
</file>